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drawing>
          <wp:inline>
            <wp:extent cx="676275" cy="8382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ДУМА КАШИНСКОГО МУНИЦИПАЛЬНОГО ОКРУГА</w:t>
      </w:r>
    </w:p>
    <w:p w14:paraId="03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ТВЕРСКОЙ ОБЛАСТИ</w:t>
      </w:r>
    </w:p>
    <w:p w14:paraId="04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8"/>
        </w:rPr>
      </w:pP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Р Е Ш Е Н И Е</w:t>
      </w:r>
    </w:p>
    <w:p w14:paraId="06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8"/>
        </w:rPr>
      </w:pPr>
    </w:p>
    <w:tbl>
      <w:tblPr>
        <w:tblStyle w:val="Style_1"/>
        <w:tblW w:type="auto" w:w="0"/>
        <w:tblInd w:type="dxa" w:w="-108"/>
        <w:tblLayout w:type="fixed"/>
      </w:tblPr>
      <w:tblGrid>
        <w:gridCol w:w="236"/>
        <w:gridCol w:w="4506"/>
        <w:gridCol w:w="1164"/>
        <w:gridCol w:w="284"/>
        <w:gridCol w:w="3402"/>
      </w:tblGrid>
      <w:tr>
        <w:trPr>
          <w:trHeight w:hRule="atLeast" w:val="618"/>
        </w:trPr>
        <w:tc>
          <w:tcPr>
            <w:tcW w:type="dxa" w:w="236"/>
          </w:tcPr>
          <w:p w14:paraId="07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9356"/>
            <w:gridSpan w:val="4"/>
          </w:tcPr>
          <w:p w14:paraId="08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от </w:t>
            </w:r>
            <w:r>
              <w:rPr>
                <w:rFonts w:ascii="XO Thames" w:hAnsi="XO Thames"/>
                <w:sz w:val="28"/>
                <w:u w:val="single"/>
              </w:rPr>
              <w:t xml:space="preserve"> 30.09.2025</w:t>
            </w:r>
            <w:r>
              <w:rPr>
                <w:rFonts w:ascii="XO Thames" w:hAnsi="XO Thames"/>
                <w:sz w:val="28"/>
                <w:u w:val="single"/>
              </w:rPr>
              <w:tab/>
            </w:r>
            <w:r>
              <w:rPr>
                <w:rFonts w:ascii="XO Thames" w:hAnsi="XO Thames"/>
                <w:sz w:val="28"/>
              </w:rPr>
              <w:tab/>
            </w:r>
            <w:r>
              <w:rPr>
                <w:rFonts w:ascii="XO Thames" w:hAnsi="XO Thames"/>
                <w:sz w:val="28"/>
              </w:rPr>
              <w:t>г. Кашин</w:t>
            </w:r>
            <w:r>
              <w:rPr>
                <w:rFonts w:ascii="XO Thames" w:hAnsi="XO Thames"/>
                <w:sz w:val="28"/>
              </w:rPr>
              <w:tab/>
            </w:r>
            <w:r>
              <w:rPr>
                <w:rFonts w:ascii="XO Thames" w:hAnsi="XO Thames"/>
                <w:sz w:val="28"/>
              </w:rPr>
              <w:t>№</w:t>
            </w:r>
            <w:r>
              <w:rPr>
                <w:rFonts w:ascii="XO Thames" w:hAnsi="XO Thames"/>
                <w:sz w:val="28"/>
                <w:u w:val="single"/>
              </w:rPr>
              <w:t xml:space="preserve"> 165 </w:t>
            </w:r>
            <w:r>
              <w:rPr>
                <w:rFonts w:ascii="XO Thames" w:hAnsi="XO Thames"/>
                <w:sz w:val="28"/>
                <w:u w:val="single"/>
              </w:rPr>
              <w:tab/>
            </w:r>
          </w:p>
        </w:tc>
      </w:tr>
      <w:tr>
        <w:trPr>
          <w:trHeight w:hRule="atLeast" w:val="988"/>
        </w:trPr>
        <w:tc>
          <w:tcPr>
            <w:tcW w:type="dxa" w:w="236"/>
          </w:tcPr>
          <w:p w14:paraId="09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4506"/>
          </w:tcPr>
          <w:p w14:paraId="0A000000">
            <w:pPr>
              <w:widowControl w:val="1"/>
              <w:spacing w:line="252" w:lineRule="auto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Об утверждении Положения о муниципальном жилищном контроле на территории Кашинского муниципального округа Тверской области</w:t>
            </w:r>
          </w:p>
        </w:tc>
        <w:tc>
          <w:tcPr>
            <w:tcW w:type="dxa" w:w="4850"/>
            <w:gridSpan w:val="3"/>
          </w:tcPr>
          <w:p w14:paraId="0B000000">
            <w:pPr>
              <w:widowControl w:val="1"/>
              <w:spacing w:line="252" w:lineRule="auto"/>
              <w:ind/>
              <w:jc w:val="center"/>
              <w:rPr>
                <w:rFonts w:ascii="XO Thames" w:hAnsi="XO Thames"/>
                <w:b w:val="1"/>
                <w:sz w:val="28"/>
              </w:rPr>
            </w:pPr>
          </w:p>
        </w:tc>
      </w:tr>
      <w:tr>
        <w:tc>
          <w:tcPr>
            <w:tcW w:type="dxa" w:w="5906"/>
            <w:gridSpan w:val="3"/>
            <w:shd w:fill="auto" w:val="clear"/>
          </w:tcPr>
          <w:p w14:paraId="0C000000">
            <w:pPr>
              <w:widowControl w:val="1"/>
              <w:ind w:right="101"/>
              <w:rPr>
                <w:rFonts w:ascii="XO Thames" w:hAnsi="XO Thames"/>
                <w:b w:val="1"/>
                <w:sz w:val="28"/>
              </w:rPr>
            </w:pPr>
          </w:p>
        </w:tc>
        <w:tc>
          <w:tcPr>
            <w:tcW w:type="dxa" w:w="284"/>
            <w:shd w:fill="auto" w:val="clear"/>
          </w:tcPr>
          <w:p w14:paraId="0D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  <w:tc>
          <w:tcPr>
            <w:tcW w:type="dxa" w:w="3402"/>
            <w:shd w:fill="auto" w:val="clear"/>
          </w:tcPr>
          <w:p w14:paraId="0E000000">
            <w:pPr>
              <w:widowControl w:val="1"/>
              <w:tabs>
                <w:tab w:leader="none" w:pos="4358" w:val="left"/>
              </w:tabs>
              <w:ind w:right="-2"/>
              <w:jc w:val="right"/>
              <w:rPr>
                <w:rFonts w:ascii="XO Thames" w:hAnsi="XO Thames"/>
                <w:sz w:val="28"/>
              </w:rPr>
            </w:pPr>
          </w:p>
        </w:tc>
      </w:tr>
    </w:tbl>
    <w:p w14:paraId="0F000000">
      <w:pPr>
        <w:widowControl w:val="1"/>
        <w:tabs>
          <w:tab w:leader="none" w:pos="10205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В соответствии с </w:t>
      </w:r>
      <w:r>
        <w:rPr>
          <w:rFonts w:ascii="XO Thames" w:hAnsi="XO Thames"/>
          <w:sz w:val="28"/>
        </w:rPr>
        <w:t>Жилищным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</w:t>
      </w:r>
      <w:r>
        <w:rPr>
          <w:rFonts w:ascii="XO Thames" w:hAnsi="XO Thames"/>
          <w:sz w:val="28"/>
        </w:rPr>
        <w:t>ссийской Федерации», Уставом Кашинского муниципального округа Тверской области</w:t>
      </w:r>
    </w:p>
    <w:tbl>
      <w:tblPr>
        <w:tblStyle w:val="Style_1"/>
        <w:tblW w:type="auto" w:w="0"/>
        <w:tblLayout w:type="fixed"/>
      </w:tblPr>
      <w:tblGrid>
        <w:gridCol w:w="1242"/>
        <w:gridCol w:w="6804"/>
        <w:gridCol w:w="1418"/>
      </w:tblGrid>
      <w:tr>
        <w:tc>
          <w:tcPr>
            <w:tcW w:type="dxa" w:w="1242"/>
            <w:shd w:fill="auto" w:val="clear"/>
          </w:tcPr>
          <w:p w14:paraId="10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804"/>
            <w:shd w:fill="auto" w:val="clear"/>
          </w:tcPr>
          <w:p w14:paraId="11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1418"/>
            <w:shd w:fill="auto" w:val="clear"/>
          </w:tcPr>
          <w:p w14:paraId="12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</w:tr>
      <w:tr>
        <w:tc>
          <w:tcPr>
            <w:tcW w:type="dxa" w:w="1242"/>
            <w:shd w:fill="auto" w:val="clear"/>
          </w:tcPr>
          <w:p w14:paraId="13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804"/>
            <w:shd w:fill="auto" w:val="clear"/>
          </w:tcPr>
          <w:p w14:paraId="14000000">
            <w:pPr>
              <w:widowControl w:val="1"/>
              <w:tabs>
                <w:tab w:leader="none" w:pos="10205" w:val="left"/>
              </w:tabs>
              <w:ind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b w:val="1"/>
                <w:sz w:val="28"/>
              </w:rPr>
              <w:t>ДУМА КАШИНСКОГО МУНИЦИПАЛЬНОГО ОКРУГА ТВЕРСКОЙ ОБЛАСТИ РЕШИЛА:</w:t>
            </w:r>
          </w:p>
        </w:tc>
        <w:tc>
          <w:tcPr>
            <w:tcW w:type="dxa" w:w="1418"/>
            <w:shd w:fill="auto" w:val="clear"/>
          </w:tcPr>
          <w:p w14:paraId="15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</w:tr>
      <w:tr>
        <w:tc>
          <w:tcPr>
            <w:tcW w:type="dxa" w:w="1242"/>
            <w:shd w:fill="auto" w:val="clear"/>
          </w:tcPr>
          <w:p w14:paraId="16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804"/>
            <w:shd w:fill="auto" w:val="clear"/>
          </w:tcPr>
          <w:p w14:paraId="17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1418"/>
            <w:shd w:fill="auto" w:val="clear"/>
          </w:tcPr>
          <w:p w14:paraId="18000000">
            <w:pPr>
              <w:widowControl w:val="1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</w:tr>
    </w:tbl>
    <w:p w14:paraId="19000000">
      <w:pPr>
        <w:widowControl w:val="1"/>
        <w:numPr>
          <w:ilvl w:val="0"/>
          <w:numId w:val="1"/>
        </w:numPr>
        <w:tabs>
          <w:tab w:leader="none" w:pos="1134" w:val="left"/>
        </w:tabs>
        <w:ind w:firstLine="567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Утвердить Положение о муниципальном жилищном контроле на территории Кашинского </w:t>
      </w:r>
      <w:r>
        <w:rPr>
          <w:rFonts w:ascii="XO Thames" w:hAnsi="XO Thames"/>
          <w:sz w:val="28"/>
        </w:rPr>
        <w:t>муниципального округа Тверской области (приложение).</w:t>
      </w:r>
    </w:p>
    <w:p w14:paraId="1A000000">
      <w:pPr>
        <w:widowControl w:val="1"/>
        <w:numPr>
          <w:ilvl w:val="0"/>
          <w:numId w:val="1"/>
        </w:numPr>
        <w:tabs>
          <w:tab w:leader="none" w:pos="1134" w:val="left"/>
        </w:tabs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Признать утратившим силу решение Думы Кашинского муниципального округа Тверской области от 25.02.2025 №130 «Об утверждении Положения о муниципальном жилищном контроле на территории Кашинского муниципаль</w:t>
      </w:r>
      <w:r>
        <w:rPr>
          <w:rFonts w:ascii="Times New Roman" w:hAnsi="Times New Roman"/>
          <w:sz w:val="28"/>
        </w:rPr>
        <w:t>ного округа Тверской области».</w:t>
      </w:r>
    </w:p>
    <w:p w14:paraId="1B000000">
      <w:pPr>
        <w:widowControl w:val="1"/>
        <w:numPr>
          <w:ilvl w:val="0"/>
          <w:numId w:val="1"/>
        </w:numPr>
        <w:ind w:firstLine="567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Настоящее решение вступает в силу после его официального опубликования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подлежит размещению на официальном сайте Кашинского муниципального округа Тверской области в </w:t>
      </w:r>
      <w:r>
        <w:rPr>
          <w:rFonts w:ascii="XO Thames" w:hAnsi="XO Thames"/>
          <w:sz w:val="28"/>
        </w:rPr>
        <w:t>информационно-телекоммуникационной сети Интернет.</w:t>
      </w:r>
    </w:p>
    <w:p w14:paraId="1C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Председатель Думы Кашинского </w:t>
      </w:r>
    </w:p>
    <w:p w14:paraId="1E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муниципального округа Тверской области                                    </w:t>
      </w:r>
      <w:r>
        <w:rPr>
          <w:rFonts w:ascii="XO Thames" w:hAnsi="XO Thames"/>
          <w:sz w:val="28"/>
        </w:rPr>
        <w:t>И.А. Мурашова</w:t>
      </w:r>
    </w:p>
    <w:p w14:paraId="1F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20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</w:t>
      </w:r>
      <w:r>
        <w:rPr>
          <w:rFonts w:ascii="XO Thames" w:hAnsi="XO Thames"/>
          <w:sz w:val="28"/>
        </w:rPr>
        <w:t>Главы Кашинского муниципального</w:t>
      </w:r>
    </w:p>
    <w:p w14:paraId="21000000">
      <w:pPr>
        <w:widowControl w:val="1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округа Тверской области                              </w:t>
      </w:r>
      <w:r>
        <w:rPr>
          <w:rFonts w:ascii="XO Thames" w:hAnsi="XO Thames"/>
          <w:sz w:val="28"/>
        </w:rPr>
        <w:t xml:space="preserve">                                       </w:t>
      </w:r>
      <w:r>
        <w:rPr>
          <w:rFonts w:ascii="XO Thames" w:hAnsi="XO Thames"/>
          <w:sz w:val="28"/>
        </w:rPr>
        <w:t>С.В.Галяева</w:t>
      </w:r>
    </w:p>
    <w:p w14:paraId="22000000">
      <w:pPr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567" w:right="-1"/>
        <w:jc w:val="center"/>
        <w:rPr>
          <w:rFonts w:ascii="Times New Roman" w:hAnsi="Times New Roman"/>
          <w:sz w:val="28"/>
        </w:rPr>
      </w:pPr>
      <w:bookmarkStart w:id="1" w:name="_GoBack"/>
      <w:bookmarkEnd w:id="1"/>
    </w:p>
    <w:sectPr>
      <w:pgSz w:h="16838" w:orient="portrait" w:w="11906"/>
      <w:pgMar w:bottom="1134" w:footer="709" w:gutter="0" w:header="709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0"/>
        <w:ind w:hanging="360" w:left="720"/>
      </w:pPr>
    </w:lvl>
    <w:lvl w:ilvl="1">
      <w:start w:val="1"/>
      <w:numFmt w:val="lowerLetter"/>
      <w:lvlText w:val="%2."/>
      <w:lvlJc w:val="left"/>
      <w:pPr>
        <w:widowControl w:val="0"/>
        <w:ind w:hanging="360" w:left="1440"/>
      </w:pPr>
    </w:lvl>
    <w:lvl w:ilvl="2">
      <w:start w:val="1"/>
      <w:numFmt w:val="lowerRoman"/>
      <w:lvlText w:val="%3."/>
      <w:lvlJc w:val="right"/>
      <w:pPr>
        <w:widowControl w:val="0"/>
        <w:ind w:hanging="360" w:left="2160"/>
      </w:pPr>
    </w:lvl>
    <w:lvl w:ilvl="3">
      <w:start w:val="1"/>
      <w:numFmt w:val="decimal"/>
      <w:lvlText w:val="%4."/>
      <w:lvlJc w:val="left"/>
      <w:pPr>
        <w:widowControl w:val="0"/>
        <w:ind w:hanging="360" w:left="2880"/>
      </w:pPr>
    </w:lvl>
    <w:lvl w:ilvl="4">
      <w:start w:val="1"/>
      <w:numFmt w:val="lowerLetter"/>
      <w:lvlText w:val="%5."/>
      <w:lvlJc w:val="left"/>
      <w:pPr>
        <w:widowControl w:val="0"/>
        <w:ind w:hanging="360" w:left="3600"/>
      </w:pPr>
    </w:lvl>
    <w:lvl w:ilvl="5">
      <w:start w:val="1"/>
      <w:numFmt w:val="lowerRoman"/>
      <w:lvlText w:val="%6."/>
      <w:lvlJc w:val="right"/>
      <w:pPr>
        <w:widowControl w:val="0"/>
        <w:ind w:hanging="360" w:left="4320"/>
      </w:pPr>
    </w:lvl>
    <w:lvl w:ilvl="6">
      <w:start w:val="1"/>
      <w:numFmt w:val="decimal"/>
      <w:lvlText w:val="%7."/>
      <w:lvlJc w:val="left"/>
      <w:pPr>
        <w:widowControl w:val="0"/>
        <w:ind w:hanging="360" w:left="5040"/>
      </w:pPr>
    </w:lvl>
    <w:lvl w:ilvl="7">
      <w:start w:val="1"/>
      <w:numFmt w:val="lowerLetter"/>
      <w:lvlText w:val="%8."/>
      <w:lvlJc w:val="left"/>
      <w:pPr>
        <w:widowControl w:val="0"/>
        <w:ind w:hanging="360" w:left="5760"/>
      </w:pPr>
    </w:lvl>
    <w:lvl w:ilvl="8">
      <w:start w:val="1"/>
      <w:numFmt w:val="lowerRoman"/>
      <w:lvlText w:val="%9."/>
      <w:lvlJc w:val="right"/>
      <w:pPr>
        <w:widowControl w:val="0"/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3" w:type="paragraph">
    <w:name w:val="toc 2"/>
    <w:next w:val="Style_2"/>
    <w:link w:val="Style_3_ch"/>
    <w:uiPriority w:val="39"/>
    <w:pPr>
      <w:widowControl w:val="1"/>
      <w:ind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widowControl w:val="1"/>
      <w:ind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widowControl w:val="1"/>
      <w:ind w:left="1000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widowControl w:val="1"/>
      <w:ind w:left="1200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widowControl w:val="1"/>
      <w:ind w:firstLine="851"/>
      <w:jc w:val="both"/>
    </w:pPr>
    <w:rPr>
      <w:rFonts w:ascii="XO Thames" w:hAnsi="XO Thames"/>
    </w:rPr>
  </w:style>
  <w:style w:styleId="Style_7_ch" w:type="character">
    <w:name w:val="Endnote"/>
    <w:link w:val="Style_7"/>
    <w:rPr>
      <w:rFonts w:ascii="XO Thames" w:hAnsi="XO Thames"/>
    </w:rPr>
  </w:style>
  <w:style w:styleId="Style_8" w:type="paragraph">
    <w:name w:val="heading 3"/>
    <w:next w:val="Style_2"/>
    <w:link w:val="Style_8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Balloon Text"/>
    <w:basedOn w:val="Style_2"/>
    <w:link w:val="Style_9_ch"/>
    <w:rPr>
      <w:rFonts w:ascii="Segoe UI" w:hAnsi="Segoe UI"/>
      <w:sz w:val="18"/>
    </w:rPr>
  </w:style>
  <w:style w:styleId="Style_9_ch" w:type="character">
    <w:name w:val="Balloon Text"/>
    <w:basedOn w:val="Style_2_ch"/>
    <w:link w:val="Style_9"/>
    <w:rPr>
      <w:rFonts w:ascii="Segoe UI" w:hAnsi="Segoe UI"/>
      <w:sz w:val="18"/>
    </w:rPr>
  </w:style>
  <w:style w:styleId="Style_10" w:type="paragraph">
    <w:name w:val="Обычный1"/>
    <w:link w:val="Style_10_ch"/>
    <w:rPr>
      <w:rFonts w:ascii="Tms Rmn" w:hAnsi="Tms Rmn"/>
      <w:sz w:val="20"/>
    </w:rPr>
  </w:style>
  <w:style w:styleId="Style_10_ch" w:type="character">
    <w:name w:val="Обычный1"/>
    <w:link w:val="Style_10"/>
    <w:rPr>
      <w:rFonts w:ascii="Tms Rmn" w:hAnsi="Tms Rmn"/>
      <w:sz w:val="20"/>
    </w:rPr>
  </w:style>
  <w:style w:styleId="Style_11" w:type="paragraph">
    <w:name w:val="Знак сноски1"/>
    <w:basedOn w:val="Style_2"/>
    <w:link w:val="Style_11_ch"/>
    <w:pPr>
      <w:widowControl w:val="1"/>
      <w:spacing w:after="200" w:line="276" w:lineRule="auto"/>
      <w:ind/>
    </w:pPr>
    <w:rPr>
      <w:rFonts w:ascii="Times New Roman" w:hAnsi="Times New Roman"/>
      <w:sz w:val="22"/>
      <w:vertAlign w:val="superscript"/>
    </w:rPr>
  </w:style>
  <w:style w:styleId="Style_11_ch" w:type="character">
    <w:name w:val="Знак сноски1"/>
    <w:basedOn w:val="Style_2_ch"/>
    <w:link w:val="Style_11"/>
    <w:rPr>
      <w:rFonts w:ascii="Times New Roman" w:hAnsi="Times New Roman"/>
      <w:sz w:val="22"/>
      <w:vertAlign w:val="superscript"/>
    </w:rPr>
  </w:style>
  <w:style w:styleId="Style_12" w:type="paragraph">
    <w:name w:val="toc 3"/>
    <w:next w:val="Style_2"/>
    <w:link w:val="Style_12_ch"/>
    <w:uiPriority w:val="39"/>
    <w:pPr>
      <w:widowControl w:val="1"/>
      <w:ind w:left="400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2"/>
    <w:link w:val="Style_13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3_ch" w:type="character">
    <w:name w:val="heading 5"/>
    <w:link w:val="Style_13"/>
    <w:rPr>
      <w:rFonts w:ascii="XO Thames" w:hAnsi="XO Thames"/>
      <w:b w:val="1"/>
    </w:rPr>
  </w:style>
  <w:style w:styleId="Style_14" w:type="paragraph">
    <w:name w:val="heading 1"/>
    <w:basedOn w:val="Style_2"/>
    <w:next w:val="Style_2"/>
    <w:link w:val="Style_14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14_ch" w:type="character">
    <w:name w:val="heading 1"/>
    <w:basedOn w:val="Style_2_ch"/>
    <w:link w:val="Style_14"/>
    <w:rPr>
      <w:rFonts w:ascii="Arial" w:hAnsi="Arial"/>
      <w:b w:val="1"/>
      <w:sz w:val="30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basedOn w:val="Style_2"/>
    <w:link w:val="Style_16_ch"/>
  </w:style>
  <w:style w:styleId="Style_16_ch" w:type="character">
    <w:name w:val="Footnote"/>
    <w:basedOn w:val="Style_2_ch"/>
    <w:link w:val="Style_16"/>
  </w:style>
  <w:style w:styleId="Style_17" w:type="paragraph">
    <w:name w:val="toc 1"/>
    <w:next w:val="Style_2"/>
    <w:link w:val="Style_17_ch"/>
    <w:uiPriority w:val="39"/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2"/>
    <w:link w:val="Style_19_ch"/>
    <w:uiPriority w:val="39"/>
    <w:pPr>
      <w:widowControl w:val="1"/>
      <w:ind w:left="1600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widowControl w:val="1"/>
      <w:ind w:left="1400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widowControl w:val="1"/>
      <w:ind w:left="800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24" w:type="paragraph">
    <w:name w:val="Гиперссылка2"/>
    <w:link w:val="Style_24_ch"/>
    <w:rPr>
      <w:color w:val="0000FF"/>
      <w:u w:val="single"/>
    </w:rPr>
  </w:style>
  <w:style w:styleId="Style_24_ch" w:type="character">
    <w:name w:val="Гиперссылка2"/>
    <w:link w:val="Style_24"/>
    <w:rPr>
      <w:color w:val="0000FF"/>
      <w:u w:val="single"/>
    </w:rPr>
  </w:style>
  <w:style w:styleId="Style_25" w:type="paragraph">
    <w:name w:val="Гиперссылка1"/>
    <w:link w:val="Style_25_ch"/>
    <w:rPr>
      <w:color w:val="0000FF"/>
      <w:u w:val="single"/>
    </w:rPr>
  </w:style>
  <w:style w:styleId="Style_25_ch" w:type="character">
    <w:name w:val="Гиперссылка1"/>
    <w:link w:val="Style_25"/>
    <w:rPr>
      <w:color w:val="0000FF"/>
      <w:u w:val="single"/>
    </w:rPr>
  </w:style>
  <w:style w:styleId="Style_26" w:type="paragraph">
    <w:name w:val="Subtitle"/>
    <w:next w:val="Style_2"/>
    <w:link w:val="Style_26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Основной шрифт абзаца2"/>
    <w:link w:val="Style_27_ch"/>
  </w:style>
  <w:style w:styleId="Style_27_ch" w:type="character">
    <w:name w:val="Основной шрифт абзаца2"/>
    <w:link w:val="Style_27"/>
  </w:style>
  <w:style w:styleId="Style_28" w:type="paragraph">
    <w:name w:val="Title"/>
    <w:next w:val="Style_2"/>
    <w:link w:val="Style_28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2"/>
    <w:link w:val="Style_29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2"/>
    <w:link w:val="Style_30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paragraph">
    <w:name w:val="Обычный1"/>
    <w:link w:val="Style_31_ch"/>
    <w:rPr>
      <w:rFonts w:ascii="Tms Rmn" w:hAnsi="Tms Rmn"/>
      <w:sz w:val="20"/>
    </w:rPr>
  </w:style>
  <w:style w:styleId="Style_31_ch" w:type="character">
    <w:name w:val="Обычный1"/>
    <w:link w:val="Style_31"/>
    <w:rPr>
      <w:rFonts w:ascii="Tms Rmn" w:hAnsi="Tms Rmn"/>
      <w:sz w:val="20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2025-08-29T12:22:00Z</dcterms:created>
  <dcterms:modified xsi:type="dcterms:W3CDTF">2025-10-01T06:07:41Z</dcterms:modified>
</cp:coreProperties>
</file>